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69E2C" w14:textId="0AF61B3D" w:rsidR="00C07E50" w:rsidRPr="009A3ED3" w:rsidRDefault="009C6C89">
      <w:pPr>
        <w:rPr>
          <w:b/>
        </w:rPr>
      </w:pPr>
      <w:r w:rsidRPr="007B45FA">
        <w:rPr>
          <w:b/>
        </w:rPr>
        <w:t xml:space="preserve">National </w:t>
      </w:r>
      <w:r w:rsidR="0014342E" w:rsidRPr="007B45FA">
        <w:rPr>
          <w:b/>
        </w:rPr>
        <w:t>Annex</w:t>
      </w:r>
      <w:r w:rsidR="007B45FA">
        <w:rPr>
          <w:b/>
        </w:rPr>
        <w:t>:</w:t>
      </w:r>
      <w:r w:rsidR="0014342E" w:rsidRPr="009A3ED3">
        <w:rPr>
          <w:b/>
        </w:rPr>
        <w:t xml:space="preserve"> </w:t>
      </w:r>
      <w:r w:rsidRPr="009A3ED3">
        <w:rPr>
          <w:b/>
        </w:rPr>
        <w:t xml:space="preserve">United Kingdom of Great Britain and Northern Ireland </w:t>
      </w:r>
    </w:p>
    <w:p w14:paraId="400EC970" w14:textId="77777777" w:rsidR="0014342E" w:rsidRDefault="0014342E"/>
    <w:p w14:paraId="1252A428" w14:textId="52BFFFB7" w:rsidR="0014342E" w:rsidRDefault="0014342E">
      <w:r w:rsidRPr="008F6F75">
        <w:rPr>
          <w:b/>
        </w:rPr>
        <w:t>Partner</w:t>
      </w:r>
      <w:r>
        <w:t xml:space="preserve">: </w:t>
      </w:r>
      <w:r w:rsidR="009C6C89">
        <w:t xml:space="preserve">United Kingdom Research and Innovation (UKRI) </w:t>
      </w:r>
    </w:p>
    <w:p w14:paraId="07705D8A" w14:textId="77777777" w:rsidR="0014342E" w:rsidRDefault="0014342E"/>
    <w:p w14:paraId="4F1CF4ED" w14:textId="437ADF58" w:rsidR="007B45FA" w:rsidRDefault="0014342E">
      <w:r w:rsidRPr="008F6F75">
        <w:rPr>
          <w:b/>
        </w:rPr>
        <w:t>Available funding</w:t>
      </w:r>
      <w:r>
        <w:t xml:space="preserve">: Depending on all conditions of eligibility and peer review being met, the </w:t>
      </w:r>
      <w:r w:rsidR="008F6F75">
        <w:t xml:space="preserve">total </w:t>
      </w:r>
      <w:r>
        <w:t xml:space="preserve">budget </w:t>
      </w:r>
      <w:r w:rsidR="00091401">
        <w:t xml:space="preserve">available for UK applicants </w:t>
      </w:r>
      <w:r>
        <w:t xml:space="preserve">for this call will be up to </w:t>
      </w:r>
      <w:r w:rsidR="00091401">
        <w:t>£</w:t>
      </w:r>
      <w:r w:rsidR="004303C4">
        <w:t>4</w:t>
      </w:r>
      <w:r w:rsidR="00091401">
        <w:t xml:space="preserve">M, payable </w:t>
      </w:r>
      <w:r w:rsidR="007B1862">
        <w:t>at 80% of Full Economic Cost.</w:t>
      </w:r>
      <w:r w:rsidR="00920FA3">
        <w:t xml:space="preserve"> </w:t>
      </w:r>
    </w:p>
    <w:p w14:paraId="7CC123C9" w14:textId="299FBBFF" w:rsidR="0014342E" w:rsidRDefault="00B05876">
      <w:r>
        <w:t xml:space="preserve">Applications are invited across all </w:t>
      </w:r>
      <w:r w:rsidR="004303C4">
        <w:t xml:space="preserve">main </w:t>
      </w:r>
      <w:r w:rsidR="00B0672A">
        <w:t>themes</w:t>
      </w:r>
      <w:r w:rsidR="004303C4">
        <w:t xml:space="preserve"> (</w:t>
      </w:r>
      <w:r w:rsidR="004303C4" w:rsidRPr="009A3ED3">
        <w:rPr>
          <w:bCs/>
        </w:rPr>
        <w:t>Assessment and Reduction of Disaster Risk</w:t>
      </w:r>
      <w:r w:rsidR="004303C4" w:rsidRPr="000176CA">
        <w:t xml:space="preserve">; </w:t>
      </w:r>
      <w:r w:rsidR="004303C4" w:rsidRPr="000176CA">
        <w:rPr>
          <w:bCs/>
        </w:rPr>
        <w:t>Enhancing Disaster Resilience</w:t>
      </w:r>
      <w:r w:rsidR="004303C4" w:rsidRPr="009A3ED3">
        <w:rPr>
          <w:bCs/>
        </w:rPr>
        <w:t>; Cyber-Enabled Effective Disaster Response</w:t>
      </w:r>
      <w:r w:rsidR="004303C4">
        <w:t>)</w:t>
      </w:r>
    </w:p>
    <w:p w14:paraId="5A8316F7" w14:textId="21F088BC" w:rsidR="00B0672A" w:rsidRDefault="00B0672A" w:rsidP="00B0672A">
      <w:r>
        <w:t xml:space="preserve">Applicants from the UK may apply for a maximum of </w:t>
      </w:r>
      <w:r w:rsidR="000176CA">
        <w:t>£</w:t>
      </w:r>
      <w:r w:rsidR="005272F0">
        <w:t>4</w:t>
      </w:r>
      <w:r w:rsidR="000176CA">
        <w:t xml:space="preserve">00,000 </w:t>
      </w:r>
      <w:r>
        <w:t xml:space="preserve">(100% </w:t>
      </w:r>
      <w:proofErr w:type="spellStart"/>
      <w:r w:rsidR="005272F0">
        <w:t>f</w:t>
      </w:r>
      <w:r>
        <w:t>EC</w:t>
      </w:r>
      <w:proofErr w:type="spellEnd"/>
      <w:r>
        <w:t>)</w:t>
      </w:r>
      <w:r w:rsidR="000176CA">
        <w:t>.</w:t>
      </w:r>
      <w:r w:rsidR="005272F0">
        <w:t xml:space="preserve"> This can be increased to £700,000 (100% </w:t>
      </w:r>
      <w:proofErr w:type="spellStart"/>
      <w:r w:rsidR="005272F0">
        <w:t>fEC</w:t>
      </w:r>
      <w:proofErr w:type="spellEnd"/>
      <w:r w:rsidR="005272F0">
        <w:t xml:space="preserve">) if they </w:t>
      </w:r>
      <w:r w:rsidR="003B38BD">
        <w:t>are working with</w:t>
      </w:r>
      <w:r w:rsidR="005272F0">
        <w:t xml:space="preserve"> a partner in a country on the DAC list of recipients.</w:t>
      </w:r>
      <w:r>
        <w:t xml:space="preserve"> We anticipate funding UK participati</w:t>
      </w:r>
      <w:r w:rsidR="000176CA">
        <w:t>on</w:t>
      </w:r>
      <w:r>
        <w:t xml:space="preserve"> in </w:t>
      </w:r>
      <w:r w:rsidR="005272F0">
        <w:t>8</w:t>
      </w:r>
      <w:r w:rsidR="000176CA">
        <w:t>-10</w:t>
      </w:r>
      <w:r>
        <w:t xml:space="preserve"> consortia</w:t>
      </w:r>
      <w:r w:rsidR="005272F0">
        <w:t>, depending on quality and fit to call</w:t>
      </w:r>
      <w:r>
        <w:t>. Project duration is 3 years; standard UKRI rules on extensions apply.</w:t>
      </w:r>
    </w:p>
    <w:p w14:paraId="1886E01D" w14:textId="77777777" w:rsidR="0014342E" w:rsidRDefault="0014342E"/>
    <w:p w14:paraId="09508963" w14:textId="77777777" w:rsidR="0014342E" w:rsidRPr="007D6AD4" w:rsidRDefault="0014342E">
      <w:pPr>
        <w:rPr>
          <w:b/>
        </w:rPr>
      </w:pPr>
      <w:r w:rsidRPr="007D6AD4">
        <w:rPr>
          <w:b/>
        </w:rPr>
        <w:t>Eligibility and National funding Modalities</w:t>
      </w:r>
    </w:p>
    <w:p w14:paraId="3A2E339C" w14:textId="5155D3D5" w:rsidR="00B0672A" w:rsidRDefault="00D70780" w:rsidP="00B0672A">
      <w:r>
        <w:t xml:space="preserve">For this CRA, the UK commitment is part of GCRF funding. </w:t>
      </w:r>
      <w:r w:rsidR="00B0672A">
        <w:t xml:space="preserve">All applicants funded by GCRF will be required to ensure their work supports “the promotion of the economic development and welfare of developing countries,” and submit an ODA statement as part of their application in evidence of this. Guidance can be found here: </w:t>
      </w:r>
      <w:hyperlink r:id="rId5" w:history="1">
        <w:r w:rsidR="00B0672A" w:rsidRPr="00CF76EE">
          <w:rPr>
            <w:rStyle w:val="Hyperlink"/>
          </w:rPr>
          <w:t>https://www.ukri.org/files/legacy/international/gcrfodaguidance-pdf/</w:t>
        </w:r>
      </w:hyperlink>
    </w:p>
    <w:p w14:paraId="6D979B32" w14:textId="7B8BB35F" w:rsidR="001B218E" w:rsidRDefault="001B218E" w:rsidP="00B0672A">
      <w:r>
        <w:t>Applicants will also be required to complete a Gender Equality Statement to demonstrate</w:t>
      </w:r>
      <w:r w:rsidRPr="001B218E">
        <w:t xml:space="preserve"> that </w:t>
      </w:r>
      <w:r>
        <w:t xml:space="preserve">their </w:t>
      </w:r>
      <w:r w:rsidRPr="001B218E">
        <w:t xml:space="preserve">research </w:t>
      </w:r>
      <w:r w:rsidR="00C21726">
        <w:t>complies with the International Development (Gender Equality) Act of 2014, and that they have considered how their work might</w:t>
      </w:r>
      <w:r w:rsidRPr="001B218E">
        <w:t xml:space="preserve"> impact </w:t>
      </w:r>
      <w:r w:rsidR="00C21726">
        <w:t xml:space="preserve">on </w:t>
      </w:r>
      <w:r w:rsidRPr="001B218E">
        <w:t>gender equality</w:t>
      </w:r>
      <w:r>
        <w:t xml:space="preserve">. Guidance can be found here: </w:t>
      </w:r>
      <w:hyperlink r:id="rId6" w:history="1">
        <w:r>
          <w:rPr>
            <w:rStyle w:val="Hyperlink"/>
          </w:rPr>
          <w:t>https://www.ukri.org/research/global-challenges-research-fund/gender-equality-and-international-development-research-and-innovation/</w:t>
        </w:r>
      </w:hyperlink>
    </w:p>
    <w:p w14:paraId="06C6B760" w14:textId="7F2C3246" w:rsidR="00475DF7" w:rsidRDefault="00B0672A">
      <w:r>
        <w:t>A</w:t>
      </w:r>
      <w:r w:rsidR="00731C78">
        <w:t xml:space="preserve">pplicants from </w:t>
      </w:r>
      <w:r w:rsidR="0014342E">
        <w:t>countries</w:t>
      </w:r>
      <w:r w:rsidR="00731C78">
        <w:t xml:space="preserve"> on the OECD DAC list of recipients (</w:t>
      </w:r>
      <w:hyperlink r:id="rId7" w:history="1">
        <w:r w:rsidR="00731C78">
          <w:rPr>
            <w:rStyle w:val="Hyperlink"/>
          </w:rPr>
          <w:t>http://www.oecd.org/dac/financing-sustainable-development/development-finance-standards/DAC_List_ODA_Recipients2018to2020_flows_En.pdf</w:t>
        </w:r>
      </w:hyperlink>
      <w:r w:rsidR="00731C78">
        <w:t>)</w:t>
      </w:r>
      <w:r w:rsidR="00DB5468">
        <w:t xml:space="preserve">, </w:t>
      </w:r>
      <w:r w:rsidR="00731C78">
        <w:t xml:space="preserve">and who are not expected to graduate before the end of the project, </w:t>
      </w:r>
      <w:r w:rsidR="0014342E">
        <w:t xml:space="preserve">may </w:t>
      </w:r>
      <w:r w:rsidR="00731C78">
        <w:t>a</w:t>
      </w:r>
      <w:r w:rsidR="009D6D48">
        <w:t xml:space="preserve">lso apply under the UK funding, in partnership with a UK applicant. A </w:t>
      </w:r>
      <w:r w:rsidR="0014342E">
        <w:t xml:space="preserve">maximum of </w:t>
      </w:r>
      <w:r w:rsidR="00731C78">
        <w:t xml:space="preserve">50% of the total budget </w:t>
      </w:r>
      <w:r w:rsidR="009D6D48">
        <w:t>may be requested for the DAC-list partner</w:t>
      </w:r>
      <w:r w:rsidR="00A56A9F">
        <w:t xml:space="preserve">. </w:t>
      </w:r>
      <w:r w:rsidR="00EF7D72">
        <w:t>Applicants from DAC-list countries which are themselves participating in the call</w:t>
      </w:r>
      <w:r w:rsidR="00DB5468">
        <w:t>, or are</w:t>
      </w:r>
      <w:r w:rsidR="00EF7D72">
        <w:t xml:space="preserve"> </w:t>
      </w:r>
      <w:r w:rsidR="00DB5468">
        <w:t xml:space="preserve">members of the Belmont Forum, </w:t>
      </w:r>
      <w:r w:rsidR="00EF7D72">
        <w:t xml:space="preserve">are not eligible for funding. </w:t>
      </w:r>
    </w:p>
    <w:p w14:paraId="10757F39" w14:textId="2BFE3C72" w:rsidR="0014342E" w:rsidRDefault="00846D1D">
      <w:r>
        <w:t>Direct costs</w:t>
      </w:r>
      <w:r w:rsidR="00731C78">
        <w:t xml:space="preserve"> incurred</w:t>
      </w:r>
      <w:r w:rsidR="00DB5468">
        <w:t xml:space="preserve"> </w:t>
      </w:r>
      <w:r>
        <w:t xml:space="preserve">by research organisations </w:t>
      </w:r>
      <w:r w:rsidR="00DB5468">
        <w:t>in</w:t>
      </w:r>
      <w:r w:rsidR="00731C78">
        <w:t xml:space="preserve"> countries on the</w:t>
      </w:r>
      <w:r w:rsidR="00DB5468">
        <w:t xml:space="preserve"> DAC list </w:t>
      </w:r>
      <w:r w:rsidR="00731C78">
        <w:t xml:space="preserve">of recipients </w:t>
      </w:r>
      <w:r w:rsidR="00DB5468">
        <w:t xml:space="preserve">will be </w:t>
      </w:r>
      <w:r>
        <w:t xml:space="preserve">supported </w:t>
      </w:r>
      <w:r w:rsidR="00DB5468">
        <w:t>at 100% Full Economic Cost.</w:t>
      </w:r>
      <w:r>
        <w:t xml:space="preserve"> </w:t>
      </w:r>
      <w:r w:rsidR="00197D05">
        <w:t>The overhead/indirect cost rate for DAC list country co-investigators is up to 20% of the total direct costs incurred by that organisation.</w:t>
      </w:r>
    </w:p>
    <w:p w14:paraId="069E5AAB" w14:textId="5C5E7867" w:rsidR="00A56A9F" w:rsidRDefault="00A56A9F">
      <w:r>
        <w:t>Grants may only be administered by a university or other research institution</w:t>
      </w:r>
      <w:r w:rsidR="00C07E50">
        <w:t xml:space="preserve"> which fulfil</w:t>
      </w:r>
      <w:r w:rsidR="0009650A">
        <w:t>s</w:t>
      </w:r>
      <w:r w:rsidR="00C07E50">
        <w:t xml:space="preserve"> the eligibilit</w:t>
      </w:r>
      <w:r w:rsidR="0009650A">
        <w:t xml:space="preserve">y criteria to hold </w:t>
      </w:r>
      <w:r w:rsidR="000176CA">
        <w:t xml:space="preserve">UKRI </w:t>
      </w:r>
      <w:r w:rsidR="0009650A" w:rsidRPr="009D6D48">
        <w:t>funding</w:t>
      </w:r>
      <w:r w:rsidR="000176CA" w:rsidRPr="009D6D48">
        <w:t xml:space="preserve"> (</w:t>
      </w:r>
      <w:hyperlink r:id="rId8" w:history="1">
        <w:r w:rsidR="009D6D48" w:rsidRPr="009D6D48">
          <w:rPr>
            <w:rStyle w:val="Hyperlink"/>
          </w:rPr>
          <w:t>https://www.ukri.org/files/legacy/documents/updated-eligibility-criteria-nov-16-pdf/</w:t>
        </w:r>
      </w:hyperlink>
      <w:r w:rsidR="000176CA" w:rsidRPr="009D6D48">
        <w:t>)</w:t>
      </w:r>
      <w:r w:rsidR="0009650A" w:rsidRPr="009D6D48">
        <w:t>.</w:t>
      </w:r>
      <w:r w:rsidR="00D70780" w:rsidRPr="009D6D48">
        <w:t xml:space="preserve"> </w:t>
      </w:r>
      <w:r w:rsidR="009D6D48">
        <w:t>Funded organisations must agree to abide by the UKRI Terms and Conditions (</w:t>
      </w:r>
      <w:hyperlink r:id="rId9" w:history="1">
        <w:r w:rsidR="009D6D48">
          <w:rPr>
            <w:rStyle w:val="Hyperlink"/>
          </w:rPr>
          <w:t>https://www.ukri.org/files/legacy/news/grant-fec-tcs-january-2018-v1-pdf/</w:t>
        </w:r>
      </w:hyperlink>
      <w:r w:rsidR="009D6D48">
        <w:t xml:space="preserve">), and any additional conditions attached to the award (these will be detailed at the offer stage). </w:t>
      </w:r>
      <w:r w:rsidR="00D70780" w:rsidRPr="009D6D48">
        <w:t>Please note</w:t>
      </w:r>
      <w:r w:rsidR="00D70780">
        <w:t xml:space="preserve"> that eligibility for this CRA does not confer eligibility for future CRAs in which UKRI is taking part.</w:t>
      </w:r>
    </w:p>
    <w:p w14:paraId="04090500" w14:textId="799F0F88" w:rsidR="00A56A9F" w:rsidRDefault="00A56A9F">
      <w:r>
        <w:lastRenderedPageBreak/>
        <w:t>Before deciding on funding, institutions will be assessed to ensure they have capacity to manage funding and have appropriate due diligence</w:t>
      </w:r>
      <w:r w:rsidR="00EF7D72">
        <w:t xml:space="preserve"> procedures in place</w:t>
      </w:r>
      <w:r w:rsidR="006832CB">
        <w:t xml:space="preserve">. Guidance can be found here: </w:t>
      </w:r>
      <w:hyperlink r:id="rId10" w:history="1">
        <w:r w:rsidR="00197D05" w:rsidRPr="00955D1B">
          <w:rPr>
            <w:rStyle w:val="Hyperlink"/>
          </w:rPr>
          <w:t>https://www.ukri.org/files/funding/due-diligence-guidance-for-ukros-pdf/</w:t>
        </w:r>
      </w:hyperlink>
    </w:p>
    <w:p w14:paraId="5361ABE4" w14:textId="2829CFA0" w:rsidR="00197D05" w:rsidRDefault="00197D05">
      <w:r>
        <w:t>Proposals for this CRA should be substantially different from any submitted to other UKRI calls.</w:t>
      </w:r>
    </w:p>
    <w:p w14:paraId="0AC817F0" w14:textId="6F2F9C75" w:rsidR="00F33BC5" w:rsidRDefault="00475DF7">
      <w:r w:rsidRPr="00475DF7">
        <w:rPr>
          <w:i/>
        </w:rPr>
        <w:t>Facilities</w:t>
      </w:r>
      <w:r>
        <w:t xml:space="preserve">: </w:t>
      </w:r>
      <w:r w:rsidR="00697D73">
        <w:t>Items of equipment costing</w:t>
      </w:r>
      <w:r w:rsidR="00C21726">
        <w:t xml:space="preserve"> over £10,000 </w:t>
      </w:r>
      <w:r w:rsidR="0021305C">
        <w:t>are</w:t>
      </w:r>
      <w:r w:rsidR="00C21726">
        <w:t xml:space="preserve"> not eligible to be funded. </w:t>
      </w:r>
      <w:r>
        <w:t>Any requirements for the use of UKRI Research Council facilities should be discussed with UKRI and the relevant council for specific guidance on how to include the costs</w:t>
      </w:r>
      <w:r w:rsidR="007B45FA">
        <w:t xml:space="preserve"> prior to submission</w:t>
      </w:r>
      <w:r>
        <w:t>.</w:t>
      </w:r>
      <w:r w:rsidR="007B45FA">
        <w:t xml:space="preserve"> </w:t>
      </w:r>
      <w:r>
        <w:t xml:space="preserve">  </w:t>
      </w:r>
    </w:p>
    <w:p w14:paraId="16143819" w14:textId="77777777" w:rsidR="00584795" w:rsidRPr="00584795" w:rsidRDefault="00584795">
      <w:pPr>
        <w:rPr>
          <w:b/>
        </w:rPr>
      </w:pPr>
      <w:r w:rsidRPr="00584795">
        <w:rPr>
          <w:b/>
        </w:rPr>
        <w:t>National Contact Point</w:t>
      </w:r>
    </w:p>
    <w:p w14:paraId="425E09F0" w14:textId="0F0FD8E3" w:rsidR="00584795" w:rsidRPr="009A3ED3" w:rsidRDefault="00584795" w:rsidP="00584795">
      <w:pPr>
        <w:rPr>
          <w:bCs/>
        </w:rPr>
      </w:pPr>
      <w:r w:rsidRPr="009A3ED3">
        <w:rPr>
          <w:bCs/>
        </w:rPr>
        <w:t>Dr Liam Haydon</w:t>
      </w:r>
    </w:p>
    <w:p w14:paraId="2CB00911" w14:textId="77777777" w:rsidR="00584795" w:rsidRPr="009A3ED3" w:rsidRDefault="00584795" w:rsidP="00584795">
      <w:r w:rsidRPr="009A3ED3">
        <w:t>International Development Policy Manager, UKRI</w:t>
      </w:r>
      <w:bookmarkStart w:id="0" w:name="_GoBack"/>
      <w:bookmarkEnd w:id="0"/>
    </w:p>
    <w:p w14:paraId="0805EEA9" w14:textId="7372E568" w:rsidR="00584795" w:rsidRPr="009A3ED3" w:rsidRDefault="00584795" w:rsidP="00584795">
      <w:r w:rsidRPr="009A3ED3">
        <w:t>Email: Liam.Haydon@</w:t>
      </w:r>
      <w:r w:rsidR="00C21726">
        <w:t>ukri.org</w:t>
      </w:r>
    </w:p>
    <w:p w14:paraId="1D9E6866" w14:textId="79D428C5" w:rsidR="00A56A9F" w:rsidRDefault="00584795">
      <w:r w:rsidRPr="009A3ED3">
        <w:t>Phone: 01793 444252 / 07547977199</w:t>
      </w:r>
    </w:p>
    <w:sectPr w:rsidR="00A56A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659F8"/>
    <w:multiLevelType w:val="hybridMultilevel"/>
    <w:tmpl w:val="7A629912"/>
    <w:numStyleLink w:val="ImportedStyle2"/>
  </w:abstractNum>
  <w:abstractNum w:abstractNumId="1" w15:restartNumberingAfterBreak="0">
    <w:nsid w:val="7BC1717B"/>
    <w:multiLevelType w:val="hybridMultilevel"/>
    <w:tmpl w:val="7A629912"/>
    <w:styleLink w:val="ImportedStyle2"/>
    <w:lvl w:ilvl="0" w:tplc="F0A0A8D6">
      <w:start w:val="1"/>
      <w:numFmt w:val="upperLetter"/>
      <w:lvlText w:val="%1."/>
      <w:lvlJc w:val="left"/>
      <w:pPr>
        <w:ind w:left="56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1" w:tplc="BBA67B5A">
      <w:start w:val="1"/>
      <w:numFmt w:val="decimal"/>
      <w:lvlText w:val="%2."/>
      <w:lvlJc w:val="left"/>
      <w:pPr>
        <w:ind w:left="104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DE757A">
      <w:start w:val="1"/>
      <w:numFmt w:val="lowerRoman"/>
      <w:lvlText w:val="%3."/>
      <w:lvlJc w:val="left"/>
      <w:pPr>
        <w:ind w:left="1527" w:hanging="466"/>
      </w:pPr>
      <w:rPr>
        <w:rFonts w:hAnsi="Arial Unicode MS"/>
        <w:b/>
        <w:bCs/>
        <w:caps w:val="0"/>
        <w:smallCaps w:val="0"/>
        <w:strike w:val="0"/>
        <w:dstrike w:val="0"/>
        <w:outline w:val="0"/>
        <w:emboss w:val="0"/>
        <w:imprint w:val="0"/>
        <w:spacing w:val="0"/>
        <w:w w:val="100"/>
        <w:kern w:val="0"/>
        <w:position w:val="0"/>
        <w:highlight w:val="none"/>
        <w:vertAlign w:val="baseline"/>
      </w:rPr>
    </w:lvl>
    <w:lvl w:ilvl="3" w:tplc="45F67242">
      <w:start w:val="1"/>
      <w:numFmt w:val="decimal"/>
      <w:lvlText w:val="%4."/>
      <w:lvlJc w:val="left"/>
      <w:pPr>
        <w:ind w:left="200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4" w:tplc="B232BB78">
      <w:start w:val="1"/>
      <w:numFmt w:val="decimal"/>
      <w:lvlText w:val="%5."/>
      <w:lvlJc w:val="left"/>
      <w:pPr>
        <w:ind w:left="248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5" w:tplc="91249B5A">
      <w:start w:val="1"/>
      <w:numFmt w:val="lowerRoman"/>
      <w:lvlText w:val="%6."/>
      <w:lvlJc w:val="left"/>
      <w:pPr>
        <w:ind w:left="2967" w:hanging="466"/>
      </w:pPr>
      <w:rPr>
        <w:rFonts w:hAnsi="Arial Unicode MS"/>
        <w:b/>
        <w:bCs/>
        <w:caps w:val="0"/>
        <w:smallCaps w:val="0"/>
        <w:strike w:val="0"/>
        <w:dstrike w:val="0"/>
        <w:outline w:val="0"/>
        <w:emboss w:val="0"/>
        <w:imprint w:val="0"/>
        <w:spacing w:val="0"/>
        <w:w w:val="100"/>
        <w:kern w:val="0"/>
        <w:position w:val="0"/>
        <w:highlight w:val="none"/>
        <w:vertAlign w:val="baseline"/>
      </w:rPr>
    </w:lvl>
    <w:lvl w:ilvl="6" w:tplc="3AAAD5FC">
      <w:start w:val="1"/>
      <w:numFmt w:val="decimal"/>
      <w:lvlText w:val="%7."/>
      <w:lvlJc w:val="left"/>
      <w:pPr>
        <w:ind w:left="344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7" w:tplc="D8780918">
      <w:start w:val="1"/>
      <w:numFmt w:val="decimal"/>
      <w:lvlText w:val="%8."/>
      <w:lvlJc w:val="left"/>
      <w:pPr>
        <w:ind w:left="3927"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9ECB8C">
      <w:start w:val="1"/>
      <w:numFmt w:val="lowerRoman"/>
      <w:lvlText w:val="%9."/>
      <w:lvlJc w:val="left"/>
      <w:pPr>
        <w:ind w:left="4407" w:hanging="46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lvlOverride w:ilvl="0">
      <w:lvl w:ilvl="0" w:tplc="0D0E1BAC">
        <w:start w:val="1"/>
        <w:numFmt w:val="upperLetter"/>
        <w:suff w:val="nothing"/>
        <w:lvlText w:val="%1."/>
        <w:lvlJc w:val="left"/>
        <w:pPr>
          <w:ind w:left="430"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9F42478">
        <w:start w:val="1"/>
        <w:numFmt w:val="decimal"/>
        <w:suff w:val="nothing"/>
        <w:lvlText w:val="%2."/>
        <w:lvlJc w:val="left"/>
        <w:pPr>
          <w:ind w:left="910"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9FE6E92">
        <w:start w:val="1"/>
        <w:numFmt w:val="lowerRoman"/>
        <w:lvlText w:val="%3."/>
        <w:lvlJc w:val="left"/>
        <w:pPr>
          <w:tabs>
            <w:tab w:val="num" w:pos="1390"/>
          </w:tabs>
          <w:ind w:left="1447"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EE41A6E">
        <w:start w:val="1"/>
        <w:numFmt w:val="decimal"/>
        <w:suff w:val="nothing"/>
        <w:lvlText w:val="%4."/>
        <w:lvlJc w:val="left"/>
        <w:pPr>
          <w:ind w:left="1870"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5D87FF8">
        <w:start w:val="1"/>
        <w:numFmt w:val="decimal"/>
        <w:suff w:val="nothing"/>
        <w:lvlText w:val="%5."/>
        <w:lvlJc w:val="left"/>
        <w:pPr>
          <w:ind w:left="2350"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FEE948C">
        <w:start w:val="1"/>
        <w:numFmt w:val="lowerRoman"/>
        <w:lvlText w:val="%6."/>
        <w:lvlJc w:val="left"/>
        <w:pPr>
          <w:tabs>
            <w:tab w:val="num" w:pos="2830"/>
          </w:tabs>
          <w:ind w:left="2887"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3B849F8">
        <w:start w:val="1"/>
        <w:numFmt w:val="decimal"/>
        <w:suff w:val="nothing"/>
        <w:lvlText w:val="%7."/>
        <w:lvlJc w:val="left"/>
        <w:pPr>
          <w:ind w:left="3310"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12E2BAA">
        <w:start w:val="1"/>
        <w:numFmt w:val="decimal"/>
        <w:suff w:val="nothing"/>
        <w:lvlText w:val="%8."/>
        <w:lvlJc w:val="left"/>
        <w:pPr>
          <w:ind w:left="3790"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CB0D7E2">
        <w:start w:val="1"/>
        <w:numFmt w:val="lowerRoman"/>
        <w:lvlText w:val="%9."/>
        <w:lvlJc w:val="left"/>
        <w:pPr>
          <w:tabs>
            <w:tab w:val="num" w:pos="4270"/>
          </w:tabs>
          <w:ind w:left="4327"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2E"/>
    <w:rsid w:val="000176CA"/>
    <w:rsid w:val="00091401"/>
    <w:rsid w:val="0009650A"/>
    <w:rsid w:val="0011308F"/>
    <w:rsid w:val="0014342E"/>
    <w:rsid w:val="001619D7"/>
    <w:rsid w:val="00197D05"/>
    <w:rsid w:val="001B218E"/>
    <w:rsid w:val="0021305C"/>
    <w:rsid w:val="002F2DD1"/>
    <w:rsid w:val="003B38BD"/>
    <w:rsid w:val="004303C4"/>
    <w:rsid w:val="00447301"/>
    <w:rsid w:val="00475DF7"/>
    <w:rsid w:val="004A173D"/>
    <w:rsid w:val="005272F0"/>
    <w:rsid w:val="00584795"/>
    <w:rsid w:val="005B4DE2"/>
    <w:rsid w:val="006832CB"/>
    <w:rsid w:val="00697D73"/>
    <w:rsid w:val="007140BC"/>
    <w:rsid w:val="00731C78"/>
    <w:rsid w:val="007B1862"/>
    <w:rsid w:val="007B45FA"/>
    <w:rsid w:val="007D6AD4"/>
    <w:rsid w:val="00846D1D"/>
    <w:rsid w:val="008F6F75"/>
    <w:rsid w:val="00920FA3"/>
    <w:rsid w:val="009A3ED3"/>
    <w:rsid w:val="009C6C89"/>
    <w:rsid w:val="009D6D48"/>
    <w:rsid w:val="00A56A9F"/>
    <w:rsid w:val="00B05876"/>
    <w:rsid w:val="00B0672A"/>
    <w:rsid w:val="00BE52BD"/>
    <w:rsid w:val="00C07E50"/>
    <w:rsid w:val="00C21726"/>
    <w:rsid w:val="00D70780"/>
    <w:rsid w:val="00DB5468"/>
    <w:rsid w:val="00EF7D72"/>
    <w:rsid w:val="00F33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923B"/>
  <w15:chartTrackingRefBased/>
  <w15:docId w15:val="{4A6B737F-2899-4B83-A9AF-A9AD1FD7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6C89"/>
    <w:rPr>
      <w:sz w:val="16"/>
      <w:szCs w:val="16"/>
    </w:rPr>
  </w:style>
  <w:style w:type="paragraph" w:styleId="CommentText">
    <w:name w:val="annotation text"/>
    <w:basedOn w:val="Normal"/>
    <w:link w:val="CommentTextChar"/>
    <w:uiPriority w:val="99"/>
    <w:semiHidden/>
    <w:unhideWhenUsed/>
    <w:rsid w:val="009C6C89"/>
    <w:pPr>
      <w:spacing w:line="240" w:lineRule="auto"/>
    </w:pPr>
    <w:rPr>
      <w:sz w:val="20"/>
      <w:szCs w:val="20"/>
    </w:rPr>
  </w:style>
  <w:style w:type="character" w:customStyle="1" w:styleId="CommentTextChar">
    <w:name w:val="Comment Text Char"/>
    <w:basedOn w:val="DefaultParagraphFont"/>
    <w:link w:val="CommentText"/>
    <w:uiPriority w:val="99"/>
    <w:semiHidden/>
    <w:rsid w:val="009C6C89"/>
    <w:rPr>
      <w:sz w:val="20"/>
      <w:szCs w:val="20"/>
    </w:rPr>
  </w:style>
  <w:style w:type="paragraph" w:styleId="CommentSubject">
    <w:name w:val="annotation subject"/>
    <w:basedOn w:val="CommentText"/>
    <w:next w:val="CommentText"/>
    <w:link w:val="CommentSubjectChar"/>
    <w:uiPriority w:val="99"/>
    <w:semiHidden/>
    <w:unhideWhenUsed/>
    <w:rsid w:val="009C6C89"/>
    <w:rPr>
      <w:b/>
      <w:bCs/>
    </w:rPr>
  </w:style>
  <w:style w:type="character" w:customStyle="1" w:styleId="CommentSubjectChar">
    <w:name w:val="Comment Subject Char"/>
    <w:basedOn w:val="CommentTextChar"/>
    <w:link w:val="CommentSubject"/>
    <w:uiPriority w:val="99"/>
    <w:semiHidden/>
    <w:rsid w:val="009C6C89"/>
    <w:rPr>
      <w:b/>
      <w:bCs/>
      <w:sz w:val="20"/>
      <w:szCs w:val="20"/>
    </w:rPr>
  </w:style>
  <w:style w:type="paragraph" w:styleId="BalloonText">
    <w:name w:val="Balloon Text"/>
    <w:basedOn w:val="Normal"/>
    <w:link w:val="BalloonTextChar"/>
    <w:uiPriority w:val="99"/>
    <w:semiHidden/>
    <w:unhideWhenUsed/>
    <w:rsid w:val="009C6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C89"/>
    <w:rPr>
      <w:rFonts w:ascii="Segoe UI" w:hAnsi="Segoe UI" w:cs="Segoe UI"/>
      <w:sz w:val="18"/>
      <w:szCs w:val="18"/>
    </w:rPr>
  </w:style>
  <w:style w:type="character" w:styleId="Hyperlink">
    <w:name w:val="Hyperlink"/>
    <w:basedOn w:val="DefaultParagraphFont"/>
    <w:uiPriority w:val="99"/>
    <w:unhideWhenUsed/>
    <w:rsid w:val="00475DF7"/>
    <w:rPr>
      <w:color w:val="0563C1" w:themeColor="hyperlink"/>
      <w:u w:val="single"/>
    </w:rPr>
  </w:style>
  <w:style w:type="paragraph" w:styleId="ListParagraph">
    <w:name w:val="List Paragraph"/>
    <w:rsid w:val="004303C4"/>
    <w:pPr>
      <w:widowControl w:val="0"/>
      <w:pBdr>
        <w:top w:val="nil"/>
        <w:left w:val="nil"/>
        <w:bottom w:val="nil"/>
        <w:right w:val="nil"/>
        <w:between w:val="nil"/>
        <w:bar w:val="nil"/>
      </w:pBdr>
      <w:spacing w:after="0" w:line="240" w:lineRule="auto"/>
      <w:ind w:left="480"/>
    </w:pPr>
    <w:rPr>
      <w:rFonts w:ascii="Calibri" w:eastAsia="Calibri" w:hAnsi="Calibri" w:cs="Calibri"/>
      <w:color w:val="000000"/>
      <w:kern w:val="2"/>
      <w:sz w:val="24"/>
      <w:szCs w:val="24"/>
      <w:u w:color="000000"/>
      <w:bdr w:val="nil"/>
      <w:lang w:val="en-US" w:eastAsia="zh-TW"/>
    </w:rPr>
  </w:style>
  <w:style w:type="numbering" w:customStyle="1" w:styleId="ImportedStyle2">
    <w:name w:val="Imported Style 2"/>
    <w:rsid w:val="004303C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2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files/legacy/documents/updated-eligibility-criteria-nov-16-pdf/" TargetMode="External"/><Relationship Id="rId3" Type="http://schemas.openxmlformats.org/officeDocument/2006/relationships/settings" Target="settings.xml"/><Relationship Id="rId7" Type="http://schemas.openxmlformats.org/officeDocument/2006/relationships/hyperlink" Target="http://www.oecd.org/dac/financing-sustainable-development/development-finance-standards/DAC_List_ODA_Recipients2018to2020_flows_E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ri.org/research/global-challenges-research-fund/gender-equality-and-international-development-research-and-innovation/" TargetMode="External"/><Relationship Id="rId11" Type="http://schemas.openxmlformats.org/officeDocument/2006/relationships/fontTable" Target="fontTable.xml"/><Relationship Id="rId5" Type="http://schemas.openxmlformats.org/officeDocument/2006/relationships/hyperlink" Target="https://www.ukri.org/files/legacy/international/gcrfodaguidance-pdf/" TargetMode="External"/><Relationship Id="rId10" Type="http://schemas.openxmlformats.org/officeDocument/2006/relationships/hyperlink" Target="https://www.ukri.org/files/funding/due-diligence-guidance-for-ukros-pdf/" TargetMode="External"/><Relationship Id="rId4" Type="http://schemas.openxmlformats.org/officeDocument/2006/relationships/webSettings" Target="webSettings.xml"/><Relationship Id="rId9" Type="http://schemas.openxmlformats.org/officeDocument/2006/relationships/hyperlink" Target="https://www.ukri.org/files/legacy/news/grant-fec-tcs-january-2018-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UKSBS</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Haydon UKRI EPSRC</dc:creator>
  <cp:keywords/>
  <dc:description/>
  <cp:lastModifiedBy>Liam Haydon UKRI EPSRC</cp:lastModifiedBy>
  <cp:revision>6</cp:revision>
  <dcterms:created xsi:type="dcterms:W3CDTF">2019-04-04T13:21:00Z</dcterms:created>
  <dcterms:modified xsi:type="dcterms:W3CDTF">2019-04-09T15:54:00Z</dcterms:modified>
</cp:coreProperties>
</file>